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9F1A3" w14:textId="5587150A" w:rsidR="00013552" w:rsidRPr="000A1714" w:rsidRDefault="00013552" w:rsidP="00013552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086926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65417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2E0293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086926">
        <w:rPr>
          <w:rFonts w:ascii="Comic Sans MS" w:hAnsi="Comic Sans MS"/>
          <w:b/>
          <w:bCs/>
          <w:sz w:val="32"/>
          <w:szCs w:val="32"/>
          <w:lang w:val="fr-FR"/>
        </w:rPr>
        <w:t>48-</w:t>
      </w:r>
      <w:r w:rsidR="006862C6">
        <w:rPr>
          <w:rFonts w:ascii="Comic Sans MS" w:hAnsi="Comic Sans MS"/>
          <w:b/>
          <w:bCs/>
          <w:sz w:val="32"/>
          <w:szCs w:val="32"/>
          <w:lang w:val="fr-FR"/>
        </w:rPr>
        <w:t>50</w:t>
      </w:r>
    </w:p>
    <w:p w14:paraId="7D8B9256" w14:textId="4EE115D9" w:rsidR="00013552" w:rsidRPr="00BB50C5" w:rsidRDefault="00B3111B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5D159227" w14:textId="77777777" w:rsidR="004B0906" w:rsidRPr="00CC76B9" w:rsidRDefault="004B0906" w:rsidP="004B0906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  <w:lang w:val="fr-FR"/>
        </w:rPr>
      </w:pPr>
      <w:r w:rsidRPr="004B0906">
        <w:rPr>
          <w:rFonts w:ascii="Comic Sans MS" w:hAnsi="Comic Sans MS"/>
          <w:bCs/>
          <w:lang w:val="fr-FR"/>
        </w:rPr>
        <w:t xml:space="preserve">Mon corps. </w:t>
      </w:r>
      <w:r w:rsidRPr="00CC76B9">
        <w:rPr>
          <w:rFonts w:ascii="Comic Sans MS" w:hAnsi="Comic Sans MS"/>
          <w:bCs/>
          <w:lang w:val="fr-FR"/>
        </w:rPr>
        <w:t>Części ciała.</w:t>
      </w:r>
    </w:p>
    <w:p w14:paraId="3D358BB9" w14:textId="77777777" w:rsidR="004B0906" w:rsidRPr="00CC76B9" w:rsidRDefault="004B0906" w:rsidP="004B0906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11B164A8" w14:textId="77777777" w:rsidR="002B6096" w:rsidRPr="002B6096" w:rsidRDefault="002B6096" w:rsidP="002B6096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5D6F39E6" w14:textId="77777777" w:rsidR="002B6096" w:rsidRPr="002B6096" w:rsidRDefault="002B6096" w:rsidP="002B6096">
      <w:pPr>
        <w:rPr>
          <w:lang w:val="fr-FR"/>
        </w:rPr>
      </w:pPr>
      <w:r w:rsidRPr="002B6096">
        <w:rPr>
          <w:lang w:val="fr-FR"/>
        </w:rPr>
        <w:t>Lexique : parties du corps</w:t>
      </w:r>
    </w:p>
    <w:p w14:paraId="0F0D2797" w14:textId="0959C02F" w:rsidR="002B6096" w:rsidRPr="002B6096" w:rsidRDefault="002B6096" w:rsidP="002B6096">
      <w:pPr>
        <w:rPr>
          <w:lang w:val="fr-FR"/>
        </w:rPr>
      </w:pPr>
      <w:r w:rsidRPr="002B6096">
        <w:rPr>
          <w:lang w:val="fr-FR"/>
        </w:rPr>
        <w:t>Communication : décrire les parties du corps</w:t>
      </w:r>
      <w:r w:rsidR="00DC45A5">
        <w:rPr>
          <w:lang w:val="fr-FR"/>
        </w:rPr>
        <w:t>, comprendre des consignes</w:t>
      </w:r>
    </w:p>
    <w:p w14:paraId="06B48913" w14:textId="01713FD6" w:rsidR="002B6096" w:rsidRPr="002B6096" w:rsidRDefault="002B6096" w:rsidP="002B6096">
      <w:pPr>
        <w:rPr>
          <w:lang w:val="fr-FR"/>
        </w:rPr>
      </w:pPr>
      <w:r w:rsidRPr="002B6096">
        <w:rPr>
          <w:lang w:val="fr-FR"/>
        </w:rPr>
        <w:t>Grammaire : accord en genre et en nombre,</w:t>
      </w:r>
      <w:r w:rsidR="00DC45A5">
        <w:rPr>
          <w:lang w:val="fr-FR"/>
        </w:rPr>
        <w:t xml:space="preserve"> verbe avoir</w:t>
      </w:r>
    </w:p>
    <w:p w14:paraId="51A46B40" w14:textId="77777777" w:rsidR="0020648D" w:rsidRPr="00DC45A5" w:rsidRDefault="0020648D" w:rsidP="002B6096">
      <w:pPr>
        <w:rPr>
          <w:lang w:val="fr-FR"/>
        </w:rPr>
      </w:pPr>
    </w:p>
    <w:p w14:paraId="1EE48899" w14:textId="77777777" w:rsidR="0020648D" w:rsidRPr="0020648D" w:rsidRDefault="0020648D" w:rsidP="0020648D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4059132C" w14:textId="77777777" w:rsidR="0020648D" w:rsidRPr="0020648D" w:rsidRDefault="0020648D" w:rsidP="0020648D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344164AA" w14:textId="77777777" w:rsidR="0020648D" w:rsidRPr="0020648D" w:rsidRDefault="0020648D" w:rsidP="0020648D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4BBF93E4" w14:textId="78E606E6" w:rsidR="0020648D" w:rsidRPr="0020648D" w:rsidRDefault="0020648D" w:rsidP="0020648D">
      <w:pPr>
        <w:rPr>
          <w:lang w:val="fr-FR"/>
        </w:rPr>
      </w:pPr>
      <w:r w:rsidRPr="0020648D">
        <w:rPr>
          <w:lang w:val="fr-FR"/>
        </w:rPr>
        <w:t>Matériel : livre, fiches de travail sur les parties du corps, tableau à feuilles ou projecteur</w:t>
      </w:r>
    </w:p>
    <w:p w14:paraId="1AD1DFFC" w14:textId="1ECDBD42" w:rsidR="0020648D" w:rsidRDefault="0020648D" w:rsidP="0020648D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7117DD9B" w14:textId="77777777" w:rsidR="00584DCE" w:rsidRPr="0020648D" w:rsidRDefault="00584DCE" w:rsidP="0020648D">
      <w:pPr>
        <w:rPr>
          <w:lang w:val="fr-FR"/>
        </w:rPr>
      </w:pPr>
    </w:p>
    <w:p w14:paraId="54A5614C" w14:textId="77777777" w:rsidR="00AA0E9E" w:rsidRPr="00BB50C5" w:rsidRDefault="00AA0E9E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BB50C5">
        <w:rPr>
          <w:lang w:val="fr-FR"/>
        </w:rPr>
        <w:t>Accueillez vos élèves.</w:t>
      </w:r>
    </w:p>
    <w:p w14:paraId="047399C0" w14:textId="4C569FD7" w:rsidR="006B6E74" w:rsidRPr="00374157" w:rsidRDefault="00AA0E9E" w:rsidP="006B6E74">
      <w:pPr>
        <w:pStyle w:val="Akapitzlist"/>
        <w:numPr>
          <w:ilvl w:val="0"/>
          <w:numId w:val="2"/>
        </w:numPr>
        <w:rPr>
          <w:lang w:val="fr-FR"/>
        </w:rPr>
      </w:pPr>
      <w:r w:rsidRPr="00542807">
        <w:rPr>
          <w:lang w:val="fr-FR"/>
        </w:rPr>
        <w:t xml:space="preserve">Demandez-leur d'ouvrir le livre aux pages 48 et 49 et discutez ensemble du sujet de cette unité. </w:t>
      </w:r>
      <w:r w:rsidR="006B6E74">
        <w:rPr>
          <w:lang w:val="fr-FR"/>
        </w:rPr>
        <w:t>Posez des questions qui permettent de réviser les connaissances acquises concernant les nombres, p.ex, il y a combien d</w:t>
      </w:r>
      <w:r w:rsidR="006B6E74">
        <w:rPr>
          <w:lang w:val="fr-FR"/>
        </w:rPr>
        <w:t>’animaux</w:t>
      </w:r>
      <w:r w:rsidR="00263816">
        <w:rPr>
          <w:lang w:val="fr-FR"/>
        </w:rPr>
        <w:t>, de filles, de garçons ? Le chat</w:t>
      </w:r>
      <w:r w:rsidR="00095489">
        <w:rPr>
          <w:lang w:val="fr-FR"/>
        </w:rPr>
        <w:t>, le chien</w:t>
      </w:r>
      <w:r w:rsidR="00263816">
        <w:rPr>
          <w:lang w:val="fr-FR"/>
        </w:rPr>
        <w:t xml:space="preserve"> </w:t>
      </w:r>
      <w:r w:rsidR="00095489">
        <w:rPr>
          <w:lang w:val="fr-FR"/>
        </w:rPr>
        <w:t>sont</w:t>
      </w:r>
      <w:r w:rsidR="00263816">
        <w:rPr>
          <w:lang w:val="fr-FR"/>
        </w:rPr>
        <w:t xml:space="preserve"> de </w:t>
      </w:r>
      <w:r w:rsidR="006B6E74">
        <w:rPr>
          <w:lang w:val="fr-FR"/>
        </w:rPr>
        <w:t xml:space="preserve"> quelle couleur ? Et ainsi de suite.</w:t>
      </w:r>
    </w:p>
    <w:p w14:paraId="67928742" w14:textId="10EA09EF" w:rsidR="00AA0E9E" w:rsidRPr="00542807" w:rsidRDefault="00AA0E9E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>Présentez les objectifs de la leçon d'aujourd'hui.</w:t>
      </w:r>
    </w:p>
    <w:p w14:paraId="7B5BE955" w14:textId="2FC36AFF" w:rsidR="00AA0E9E" w:rsidRPr="00542807" w:rsidRDefault="00AA0E9E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>Les élèves ouvrent le livre à la page 50, écoutent les noms des parties du corps et répètent l'exercice 1</w:t>
      </w:r>
      <w:r w:rsidR="00862C6F">
        <w:rPr>
          <w:lang w:val="fr-FR"/>
        </w:rPr>
        <w:t>.</w:t>
      </w:r>
    </w:p>
    <w:p w14:paraId="0DD5CAE7" w14:textId="23587BBF" w:rsidR="00AA0E9E" w:rsidRPr="00542807" w:rsidRDefault="00AA0E9E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 xml:space="preserve">Montrez les cartes des parties </w:t>
      </w:r>
      <w:r w:rsidR="00862C6F">
        <w:rPr>
          <w:lang w:val="fr-FR"/>
        </w:rPr>
        <w:t xml:space="preserve">ou projetez-les au tableau </w:t>
      </w:r>
      <w:r w:rsidRPr="00542807">
        <w:rPr>
          <w:lang w:val="fr-FR"/>
        </w:rPr>
        <w:t>du corps et demandez le nom de chaque partie. Puis accrochez les cartes au tableau, demandez à vos élèves de fermer les yeux. Cachez une fiche et demandez-leur quelle partie du corps manque.</w:t>
      </w:r>
    </w:p>
    <w:p w14:paraId="5DD5A801" w14:textId="2BDC7886" w:rsidR="00AA0E9E" w:rsidRPr="00542807" w:rsidRDefault="00AA0E9E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 xml:space="preserve">Faites écouter la chanson de l'exercice 2 à vos élèves et demandez-leur de ne pas regarder les paroles, mais d'écouter et de noter les parties du corps qui apparaissent dans le texte. Demandez-leur s'ils connaissent cette chanson. Vérifiez </w:t>
      </w:r>
      <w:r w:rsidR="00B7212C" w:rsidRPr="00542807">
        <w:rPr>
          <w:lang w:val="fr-FR"/>
        </w:rPr>
        <w:t>ce qu’ils ont noté</w:t>
      </w:r>
      <w:r w:rsidRPr="00542807">
        <w:rPr>
          <w:lang w:val="fr-FR"/>
        </w:rPr>
        <w:t>. Lisez les paroles à haute voix et chantez quelques fois en montrant les parties du corps appropriées.</w:t>
      </w:r>
    </w:p>
    <w:p w14:paraId="60443892" w14:textId="4EFFD6A8" w:rsidR="004B31CD" w:rsidRPr="00542807" w:rsidRDefault="004B31CD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>Expliquez la différence concernant l’emploi des articles définis et indéfinis avec les partis du corps (une oreille</w:t>
      </w:r>
      <w:r w:rsidR="002A3850">
        <w:rPr>
          <w:lang w:val="fr-FR"/>
        </w:rPr>
        <w:t>, l’oreille, un œil, les oreilles, les yeux)</w:t>
      </w:r>
      <w:r w:rsidR="00BB50C5">
        <w:rPr>
          <w:lang w:val="fr-FR"/>
        </w:rPr>
        <w:t>.</w:t>
      </w:r>
    </w:p>
    <w:p w14:paraId="77EE62EF" w14:textId="57BDAFBF" w:rsidR="009438D8" w:rsidRDefault="000D527D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>Faites l’exercice 3</w:t>
      </w:r>
      <w:r w:rsidR="00D83010" w:rsidRPr="00542807">
        <w:rPr>
          <w:lang w:val="fr-FR"/>
        </w:rPr>
        <w:t xml:space="preserve"> - jouez à « Jacques a dit »</w:t>
      </w:r>
      <w:r w:rsidR="009438D8" w:rsidRPr="00542807">
        <w:rPr>
          <w:lang w:val="fr-FR"/>
        </w:rPr>
        <w:t xml:space="preserve">. Il s'agit d'un jeu auquel vous pouvez jouer avec toute la classe. Le schéma du jeu se trouve dans le </w:t>
      </w:r>
      <w:r w:rsidR="00542807" w:rsidRPr="00542807">
        <w:rPr>
          <w:lang w:val="fr-FR"/>
        </w:rPr>
        <w:t>manuel</w:t>
      </w:r>
      <w:r w:rsidR="009438D8" w:rsidRPr="00542807">
        <w:rPr>
          <w:lang w:val="fr-FR"/>
        </w:rPr>
        <w:t xml:space="preserve">. </w:t>
      </w:r>
      <w:r w:rsidR="00CD36BB">
        <w:rPr>
          <w:lang w:val="fr-FR"/>
        </w:rPr>
        <w:t xml:space="preserve">Vous dites </w:t>
      </w:r>
      <w:r w:rsidR="009438D8" w:rsidRPr="00542807">
        <w:rPr>
          <w:lang w:val="fr-FR"/>
        </w:rPr>
        <w:t>:</w:t>
      </w:r>
      <w:r w:rsidR="008F6510">
        <w:rPr>
          <w:lang w:val="fr-FR"/>
        </w:rPr>
        <w:t xml:space="preserve"> Touche </w:t>
      </w:r>
      <w:r w:rsidR="00483109">
        <w:rPr>
          <w:lang w:val="fr-FR"/>
        </w:rPr>
        <w:t>le nez, l</w:t>
      </w:r>
      <w:r w:rsidR="003A40CB">
        <w:rPr>
          <w:lang w:val="fr-FR"/>
        </w:rPr>
        <w:t xml:space="preserve">a jambe / </w:t>
      </w:r>
      <w:r w:rsidR="00983EF1">
        <w:rPr>
          <w:lang w:val="fr-FR"/>
        </w:rPr>
        <w:t>Jacques a dit :</w:t>
      </w:r>
      <w:r w:rsidR="009438D8" w:rsidRPr="00542807">
        <w:rPr>
          <w:lang w:val="fr-FR"/>
        </w:rPr>
        <w:t xml:space="preserve"> touche</w:t>
      </w:r>
      <w:r w:rsidR="003A40CB">
        <w:rPr>
          <w:lang w:val="fr-FR"/>
        </w:rPr>
        <w:t xml:space="preserve"> le nez/ la jambe</w:t>
      </w:r>
      <w:r w:rsidR="009438D8" w:rsidRPr="00542807">
        <w:rPr>
          <w:lang w:val="fr-FR"/>
        </w:rPr>
        <w:t>... Le reste de la classe doit montrer cette partie du corps.</w:t>
      </w:r>
      <w:r w:rsidR="00983EF1">
        <w:rPr>
          <w:lang w:val="fr-FR"/>
        </w:rPr>
        <w:t xml:space="preserve"> </w:t>
      </w:r>
      <w:r w:rsidR="003A40CB">
        <w:rPr>
          <w:lang w:val="fr-FR"/>
        </w:rPr>
        <w:t>Ensuite, les élèves peuvent vous remplacer dans ce rôle.</w:t>
      </w:r>
    </w:p>
    <w:p w14:paraId="07F5AFED" w14:textId="4148946F" w:rsidR="002021F2" w:rsidRDefault="002021F2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>
        <w:rPr>
          <w:lang w:val="fr-FR"/>
        </w:rPr>
        <w:t>Le devoir : demandez aux apprenants de dessiner à la maison un monstre avec différent</w:t>
      </w:r>
      <w:r w:rsidR="00753413">
        <w:rPr>
          <w:lang w:val="fr-FR"/>
        </w:rPr>
        <w:t>es parties du corps</w:t>
      </w:r>
      <w:r w:rsidR="00B843EE">
        <w:rPr>
          <w:lang w:val="fr-FR"/>
        </w:rPr>
        <w:t xml:space="preserve">. </w:t>
      </w:r>
    </w:p>
    <w:p w14:paraId="40AD3E3B" w14:textId="15F7F99F" w:rsidR="001E4EF6" w:rsidRDefault="001E4EF6" w:rsidP="001E4EF6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lastRenderedPageBreak/>
        <w:t>Avant de terminer demandez aux apprenants ce qu’ils ont appris : quels mots ou quel</w:t>
      </w:r>
      <w:r>
        <w:rPr>
          <w:lang w:val="fr-FR"/>
        </w:rPr>
        <w:t>le</w:t>
      </w:r>
      <w:r>
        <w:rPr>
          <w:lang w:val="fr-FR"/>
        </w:rPr>
        <w:t xml:space="preserve">s expressions ou phrases ? </w:t>
      </w:r>
    </w:p>
    <w:p w14:paraId="4D056361" w14:textId="724CFE7E" w:rsidR="00AA0E9E" w:rsidRPr="00542807" w:rsidRDefault="00344C8A" w:rsidP="00BB50C5">
      <w:pPr>
        <w:pStyle w:val="Akapitzlist"/>
        <w:numPr>
          <w:ilvl w:val="0"/>
          <w:numId w:val="1"/>
        </w:numPr>
        <w:jc w:val="both"/>
        <w:rPr>
          <w:lang w:val="fr-FR"/>
        </w:rPr>
      </w:pPr>
      <w:r w:rsidRPr="00542807">
        <w:rPr>
          <w:lang w:val="fr-FR"/>
        </w:rPr>
        <w:t>Dites au revoir à vos élèves.</w:t>
      </w:r>
    </w:p>
    <w:sectPr w:rsidR="00AA0E9E" w:rsidRPr="00542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84E90"/>
    <w:multiLevelType w:val="hybridMultilevel"/>
    <w:tmpl w:val="C08A1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F1588"/>
    <w:multiLevelType w:val="hybridMultilevel"/>
    <w:tmpl w:val="75C2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44486">
    <w:abstractNumId w:val="0"/>
  </w:num>
  <w:num w:numId="2" w16cid:durableId="1104425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9E"/>
    <w:rsid w:val="000009DE"/>
    <w:rsid w:val="00013552"/>
    <w:rsid w:val="00086926"/>
    <w:rsid w:val="00095489"/>
    <w:rsid w:val="000D527D"/>
    <w:rsid w:val="00184125"/>
    <w:rsid w:val="001E0D06"/>
    <w:rsid w:val="001E4EF6"/>
    <w:rsid w:val="002021F2"/>
    <w:rsid w:val="0020648D"/>
    <w:rsid w:val="00263816"/>
    <w:rsid w:val="002A3850"/>
    <w:rsid w:val="002B6096"/>
    <w:rsid w:val="002E0293"/>
    <w:rsid w:val="00344C8A"/>
    <w:rsid w:val="003A40CB"/>
    <w:rsid w:val="003C4DA9"/>
    <w:rsid w:val="00483109"/>
    <w:rsid w:val="004B0906"/>
    <w:rsid w:val="004B10DB"/>
    <w:rsid w:val="004B31CD"/>
    <w:rsid w:val="00542807"/>
    <w:rsid w:val="00584DCE"/>
    <w:rsid w:val="006147E8"/>
    <w:rsid w:val="00654175"/>
    <w:rsid w:val="006862C6"/>
    <w:rsid w:val="006B6E74"/>
    <w:rsid w:val="00753413"/>
    <w:rsid w:val="00862C6F"/>
    <w:rsid w:val="008F6510"/>
    <w:rsid w:val="009438D8"/>
    <w:rsid w:val="00983EF1"/>
    <w:rsid w:val="00A01E96"/>
    <w:rsid w:val="00A662A4"/>
    <w:rsid w:val="00AA0E9E"/>
    <w:rsid w:val="00AA5AAD"/>
    <w:rsid w:val="00AD078B"/>
    <w:rsid w:val="00B3111B"/>
    <w:rsid w:val="00B7212C"/>
    <w:rsid w:val="00B843EE"/>
    <w:rsid w:val="00BB50C5"/>
    <w:rsid w:val="00BF7A2C"/>
    <w:rsid w:val="00CA619D"/>
    <w:rsid w:val="00CC2C73"/>
    <w:rsid w:val="00CC76B9"/>
    <w:rsid w:val="00CD36BB"/>
    <w:rsid w:val="00D00C61"/>
    <w:rsid w:val="00D83010"/>
    <w:rsid w:val="00DC45A5"/>
    <w:rsid w:val="00F77622"/>
    <w:rsid w:val="00F97635"/>
    <w:rsid w:val="00FD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4339"/>
  <w15:chartTrackingRefBased/>
  <w15:docId w15:val="{862144F9-B369-45D0-B994-269C5C63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0E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E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E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E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E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E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E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E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E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E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E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E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E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E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E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E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E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E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E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E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E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E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E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E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0E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E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E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E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E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13</cp:revision>
  <dcterms:created xsi:type="dcterms:W3CDTF">2024-03-18T09:44:00Z</dcterms:created>
  <dcterms:modified xsi:type="dcterms:W3CDTF">2024-03-28T13:44:00Z</dcterms:modified>
</cp:coreProperties>
</file>